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998EA" w14:textId="7E0C6767" w:rsidR="00FE6738" w:rsidRDefault="00FE6738">
      <w:pPr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A CURA DI ANCI</w:t>
      </w:r>
    </w:p>
    <w:p w14:paraId="3C902A15" w14:textId="77777777" w:rsidR="00FE6738" w:rsidRDefault="00FE6738">
      <w:pPr>
        <w:jc w:val="center"/>
        <w:rPr>
          <w:rFonts w:ascii="Palatino Linotype" w:eastAsia="Palatino Linotype" w:hAnsi="Palatino Linotype" w:cs="Palatino Linotype"/>
          <w:b/>
        </w:rPr>
      </w:pPr>
    </w:p>
    <w:p w14:paraId="00000001" w14:textId="629EA916" w:rsidR="00AC01CD" w:rsidRDefault="008C0EB6">
      <w:pPr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 xml:space="preserve">schema di </w:t>
      </w:r>
    </w:p>
    <w:p w14:paraId="00000002" w14:textId="77777777" w:rsidR="00AC01CD" w:rsidRDefault="008C0EB6">
      <w:pPr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ACCORDO di PARTENARIATO</w:t>
      </w:r>
    </w:p>
    <w:p w14:paraId="00000003" w14:textId="77777777" w:rsidR="00AC01CD" w:rsidRDefault="008C0EB6">
      <w:pPr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per la disciplina delle attività di accoglienza diffusa</w:t>
      </w:r>
    </w:p>
    <w:p w14:paraId="00000004" w14:textId="77777777" w:rsidR="00AC01CD" w:rsidRDefault="008C0EB6">
      <w:pPr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ai sensi dell’Ordinanza di Protezione Civile</w:t>
      </w:r>
    </w:p>
    <w:p w14:paraId="00000005" w14:textId="77777777" w:rsidR="00AC01CD" w:rsidRDefault="008C0EB6">
      <w:pPr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n. 881/2022</w:t>
      </w:r>
    </w:p>
    <w:p w14:paraId="00000006" w14:textId="77777777" w:rsidR="00AC01CD" w:rsidRDefault="00AC01CD">
      <w:pPr>
        <w:jc w:val="center"/>
        <w:rPr>
          <w:rFonts w:ascii="Palatino Linotype" w:eastAsia="Palatino Linotype" w:hAnsi="Palatino Linotype" w:cs="Palatino Linotype"/>
          <w:b/>
          <w:color w:val="0070C0"/>
        </w:rPr>
      </w:pPr>
    </w:p>
    <w:p w14:paraId="00000007" w14:textId="77777777" w:rsidR="00AC01CD" w:rsidRDefault="00AC01CD">
      <w:pPr>
        <w:jc w:val="center"/>
        <w:rPr>
          <w:rFonts w:ascii="Palatino Linotype" w:eastAsia="Palatino Linotype" w:hAnsi="Palatino Linotype" w:cs="Palatino Linotype"/>
          <w:b/>
          <w:color w:val="0070C0"/>
        </w:rPr>
      </w:pPr>
    </w:p>
    <w:p w14:paraId="00000008" w14:textId="77777777" w:rsidR="00AC01CD" w:rsidRDefault="00AC01CD">
      <w:pPr>
        <w:jc w:val="both"/>
        <w:rPr>
          <w:rFonts w:ascii="Palatino Linotype" w:eastAsia="Palatino Linotype" w:hAnsi="Palatino Linotype" w:cs="Palatino Linotype"/>
          <w:b/>
          <w:i/>
          <w:color w:val="000000"/>
        </w:rPr>
      </w:pPr>
    </w:p>
    <w:p w14:paraId="00000009" w14:textId="77777777" w:rsidR="00AC01CD" w:rsidRDefault="008C0EB6">
      <w:pPr>
        <w:jc w:val="right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b/>
          <w:i/>
          <w:color w:val="000000"/>
        </w:rPr>
        <w:t>Modello D</w:t>
      </w:r>
    </w:p>
    <w:p w14:paraId="0000000A" w14:textId="77777777" w:rsidR="00AC01CD" w:rsidRDefault="008C0EB6">
      <w:pPr>
        <w:jc w:val="center"/>
        <w:rPr>
          <w:rFonts w:ascii="Palatino Linotype" w:eastAsia="Palatino Linotype" w:hAnsi="Palatino Linotype" w:cs="Palatino Linotype"/>
          <w:b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ACCORDO DI PARTENARIATO</w:t>
      </w:r>
    </w:p>
    <w:p w14:paraId="0000000B" w14:textId="77777777" w:rsidR="00AC01CD" w:rsidRDefault="00AC01CD">
      <w:pPr>
        <w:jc w:val="center"/>
        <w:rPr>
          <w:rFonts w:ascii="Palatino Linotype" w:eastAsia="Palatino Linotype" w:hAnsi="Palatino Linotype" w:cs="Palatino Linotype"/>
          <w:b/>
          <w:color w:val="000000"/>
        </w:rPr>
      </w:pPr>
    </w:p>
    <w:p w14:paraId="0000000C" w14:textId="77777777" w:rsidR="00AC01CD" w:rsidRDefault="00AC01CD">
      <w:pPr>
        <w:rPr>
          <w:rFonts w:ascii="Palatino Linotype" w:eastAsia="Palatino Linotype" w:hAnsi="Palatino Linotype" w:cs="Palatino Linotype"/>
          <w:b/>
          <w:color w:val="000000"/>
        </w:rPr>
      </w:pPr>
    </w:p>
    <w:p w14:paraId="0000000D" w14:textId="77777777" w:rsidR="00AC01CD" w:rsidRDefault="008C0EB6">
      <w:pPr>
        <w:jc w:val="center"/>
        <w:rPr>
          <w:rFonts w:ascii="Palatino Linotype" w:eastAsia="Palatino Linotype" w:hAnsi="Palatino Linotype" w:cs="Palatino Linotype"/>
          <w:b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Art. 1 – (Oggetto e finalità dell’Accordo)</w:t>
      </w:r>
    </w:p>
    <w:p w14:paraId="0000000E" w14:textId="77777777" w:rsidR="00AC01CD" w:rsidRDefault="008C0E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Il presente accordo è finalizzato a dare accoglienza diffusa ed attività di accompagnamento ai soggetti, di cui al successivo articolo 3, in attuazione dell’Ordinanza della Protezione Civile n. 881/2002 e dell’Avv</w:t>
      </w:r>
      <w:r>
        <w:rPr>
          <w:rFonts w:ascii="Palatino Linotype" w:eastAsia="Palatino Linotype" w:hAnsi="Palatino Linotype" w:cs="Palatino Linotype"/>
          <w:color w:val="000000"/>
        </w:rPr>
        <w:t>iso richiamato in Premessa.</w:t>
      </w:r>
    </w:p>
    <w:p w14:paraId="0000000F" w14:textId="77777777" w:rsidR="00AC01CD" w:rsidRDefault="008C0E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Oggetto del presente accordo è lo svolgimento delle misure di accoglienza diffusa e le misure di accompagnamento per l’integrazione e per l’autonomia delle persone sfollate, di cui al paragrafo 2 dell’Avviso pubblicato dal Dipar</w:t>
      </w:r>
      <w:r>
        <w:rPr>
          <w:rFonts w:ascii="Palatino Linotype" w:eastAsia="Palatino Linotype" w:hAnsi="Palatino Linotype" w:cs="Palatino Linotype"/>
          <w:color w:val="000000"/>
        </w:rPr>
        <w:t>timento della Protezione Civile, indicato in Premessa, che – pur non allegato al presente accordo – è da intendersi parte integrante dello stesso.</w:t>
      </w:r>
    </w:p>
    <w:p w14:paraId="00000010" w14:textId="77777777" w:rsidR="00AC01CD" w:rsidRDefault="00AC01CD">
      <w:pPr>
        <w:jc w:val="center"/>
        <w:rPr>
          <w:rFonts w:ascii="Palatino Linotype" w:eastAsia="Palatino Linotype" w:hAnsi="Palatino Linotype" w:cs="Palatino Linotype"/>
          <w:b/>
          <w:color w:val="000000"/>
        </w:rPr>
      </w:pPr>
    </w:p>
    <w:p w14:paraId="00000011" w14:textId="77777777" w:rsidR="00AC01CD" w:rsidRDefault="00AC01CD">
      <w:pPr>
        <w:jc w:val="center"/>
        <w:rPr>
          <w:rFonts w:ascii="Palatino Linotype" w:eastAsia="Palatino Linotype" w:hAnsi="Palatino Linotype" w:cs="Palatino Linotype"/>
          <w:b/>
          <w:color w:val="000000"/>
        </w:rPr>
      </w:pPr>
    </w:p>
    <w:p w14:paraId="00000012" w14:textId="77777777" w:rsidR="00AC01CD" w:rsidRDefault="00AC01CD">
      <w:pPr>
        <w:jc w:val="center"/>
        <w:rPr>
          <w:rFonts w:ascii="Palatino Linotype" w:eastAsia="Palatino Linotype" w:hAnsi="Palatino Linotype" w:cs="Palatino Linotype"/>
          <w:b/>
          <w:color w:val="000000"/>
        </w:rPr>
      </w:pPr>
    </w:p>
    <w:p w14:paraId="00000013" w14:textId="77777777" w:rsidR="00AC01CD" w:rsidRDefault="008C0EB6">
      <w:pPr>
        <w:jc w:val="center"/>
        <w:rPr>
          <w:rFonts w:ascii="Palatino Linotype" w:eastAsia="Palatino Linotype" w:hAnsi="Palatino Linotype" w:cs="Palatino Linotype"/>
          <w:b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Art. 2 – (Soggetti beneficiari e durata dell’accoglienza diffusa)</w:t>
      </w:r>
    </w:p>
    <w:p w14:paraId="00000014" w14:textId="77777777" w:rsidR="00AC01CD" w:rsidRDefault="008C0EB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Il presente accordo è rivolto ad un numero complessivo di soggetti beneficiari pari ad</w:t>
      </w:r>
      <w:proofErr w:type="gramStart"/>
      <w:r>
        <w:rPr>
          <w:rFonts w:ascii="Palatino Linotype" w:eastAsia="Palatino Linotype" w:hAnsi="Palatino Linotype" w:cs="Palatino Linotype"/>
          <w:color w:val="000000"/>
        </w:rPr>
        <w:t xml:space="preserve"> ….</w:t>
      </w:r>
      <w:proofErr w:type="gramEnd"/>
      <w:r>
        <w:rPr>
          <w:rFonts w:ascii="Palatino Linotype" w:eastAsia="Palatino Linotype" w:hAnsi="Palatino Linotype" w:cs="Palatino Linotype"/>
          <w:color w:val="000000"/>
        </w:rPr>
        <w:t>.</w:t>
      </w:r>
    </w:p>
    <w:p w14:paraId="00000015" w14:textId="77777777" w:rsidR="00AC01CD" w:rsidRDefault="008C0EB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La durata delle attività di accoglienza diffusa terminerà alla data del 31 dicembre 2022, salvo diversa previsione da parte del Dipartimento della Protezione Civile.</w:t>
      </w:r>
    </w:p>
    <w:p w14:paraId="00000016" w14:textId="77777777" w:rsidR="00AC01CD" w:rsidRDefault="008C0EB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Al termine del periodo di accoglienza di cui al comma 2, in caso di necessità di prolungare l’accoglienza dei beneficiari, ogni attività e intervento, ivi incluso il trasferimento degli stessi presso differente misura alloggiativa, è di competenza dei sog</w:t>
      </w:r>
      <w:r>
        <w:rPr>
          <w:rFonts w:ascii="Palatino Linotype" w:eastAsia="Palatino Linotype" w:hAnsi="Palatino Linotype" w:cs="Palatino Linotype"/>
          <w:color w:val="000000"/>
        </w:rPr>
        <w:t>getti partner del privato sociale.</w:t>
      </w:r>
    </w:p>
    <w:p w14:paraId="00000017" w14:textId="77777777" w:rsidR="00AC01CD" w:rsidRDefault="00AC01CD">
      <w:pPr>
        <w:jc w:val="center"/>
        <w:rPr>
          <w:rFonts w:ascii="Palatino Linotype" w:eastAsia="Palatino Linotype" w:hAnsi="Palatino Linotype" w:cs="Palatino Linotype"/>
          <w:b/>
          <w:color w:val="000000"/>
        </w:rPr>
      </w:pPr>
    </w:p>
    <w:p w14:paraId="00000018" w14:textId="77777777" w:rsidR="00AC01CD" w:rsidRDefault="008C0EB6">
      <w:pPr>
        <w:jc w:val="center"/>
        <w:rPr>
          <w:rFonts w:ascii="Palatino Linotype" w:eastAsia="Palatino Linotype" w:hAnsi="Palatino Linotype" w:cs="Palatino Linotype"/>
          <w:b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Art. 4 – (Impegni comuni delle Parti)</w:t>
      </w:r>
    </w:p>
    <w:p w14:paraId="00000019" w14:textId="77777777" w:rsidR="00AC01CD" w:rsidRDefault="008C0E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Le Parti con la sottoscrizione del presente accordo assumono gli impegni di comportarsi secondo buona fede e leale cooperazione nello svolgimento delle attività di rispettiva compete</w:t>
      </w:r>
      <w:r>
        <w:rPr>
          <w:rFonts w:ascii="Palatino Linotype" w:eastAsia="Palatino Linotype" w:hAnsi="Palatino Linotype" w:cs="Palatino Linotype"/>
          <w:color w:val="000000"/>
        </w:rPr>
        <w:t>nza.</w:t>
      </w:r>
    </w:p>
    <w:p w14:paraId="0000001A" w14:textId="77777777" w:rsidR="00AC01CD" w:rsidRDefault="008C0E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Ciascuna Parte, in relazione alle finalità del presente accordo, si impegna a comunicare senza indugio qualsiasi circostanza o informazione, idonea a pregiudicare, rallentare e/o comportare il parziale inadempimento dell’accordo medesimo.</w:t>
      </w:r>
    </w:p>
    <w:p w14:paraId="0000001B" w14:textId="77777777" w:rsidR="00AC01CD" w:rsidRDefault="00AC01CD">
      <w:pPr>
        <w:jc w:val="center"/>
        <w:rPr>
          <w:rFonts w:ascii="Palatino Linotype" w:eastAsia="Palatino Linotype" w:hAnsi="Palatino Linotype" w:cs="Palatino Linotype"/>
          <w:b/>
          <w:color w:val="000000"/>
        </w:rPr>
      </w:pPr>
    </w:p>
    <w:p w14:paraId="0000001C" w14:textId="77777777" w:rsidR="00AC01CD" w:rsidRDefault="008C0EB6">
      <w:pPr>
        <w:jc w:val="center"/>
        <w:rPr>
          <w:rFonts w:ascii="Palatino Linotype" w:eastAsia="Palatino Linotype" w:hAnsi="Palatino Linotype" w:cs="Palatino Linotype"/>
          <w:b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Art. 5 – (Impegni del privato sociale)</w:t>
      </w:r>
    </w:p>
    <w:p w14:paraId="0000001D" w14:textId="77777777" w:rsidR="00AC01CD" w:rsidRDefault="008C0EB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I soggetti partner del privato sociale con la sottoscrizione del presente accordo assumono i seguenti impegni:</w:t>
      </w:r>
    </w:p>
    <w:p w14:paraId="0000001E" w14:textId="77777777" w:rsidR="00AC01CD" w:rsidRDefault="008C0EB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informare periodicamente e puntualmente il Comune partner delle presenze di beneficiari sul territorio ai fini delle prerogative istituzionali dello stesso.</w:t>
      </w:r>
    </w:p>
    <w:p w14:paraId="0000001F" w14:textId="77777777" w:rsidR="00AC01CD" w:rsidRDefault="008C0EB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individuare e comunicare formalmente il soggetto Capofila responsabile dell’eventuale aggregazione;</w:t>
      </w:r>
    </w:p>
    <w:p w14:paraId="00000020" w14:textId="77777777" w:rsidR="00AC01CD" w:rsidRDefault="008C0EB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prestare la fideiussione, conformemente a quanto stabilito dall’Avviso;</w:t>
      </w:r>
    </w:p>
    <w:p w14:paraId="00000021" w14:textId="77777777" w:rsidR="00AC01CD" w:rsidRDefault="008C0EB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comunicare senza indugio al Comune partner l’eventuale necessità di sostituzione di un membro del partenariato, con altro soggetto in possesso dei requisiti di partecipazione, stabili</w:t>
      </w:r>
      <w:r>
        <w:rPr>
          <w:rFonts w:ascii="Palatino Linotype" w:eastAsia="Palatino Linotype" w:hAnsi="Palatino Linotype" w:cs="Palatino Linotype"/>
          <w:color w:val="000000"/>
        </w:rPr>
        <w:t>to dall’Avviso, al fine della relativa autorizzazione;</w:t>
      </w:r>
    </w:p>
    <w:p w14:paraId="00000022" w14:textId="77777777" w:rsidR="00AC01CD" w:rsidRDefault="008C0EB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svolgere le attività di accoglienza diffusa e di accompagnamento secondo le modalità e gli indicatori rappresentati in seguito alla firma della convenzione;</w:t>
      </w:r>
    </w:p>
    <w:p w14:paraId="00000023" w14:textId="77777777" w:rsidR="00AC01CD" w:rsidRDefault="008C0EB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realizzare le attività di monitoraggio perio</w:t>
      </w:r>
      <w:r>
        <w:rPr>
          <w:rFonts w:ascii="Palatino Linotype" w:eastAsia="Palatino Linotype" w:hAnsi="Palatino Linotype" w:cs="Palatino Linotype"/>
          <w:color w:val="000000"/>
        </w:rPr>
        <w:t>dico e di rendicontazione delle attività e delle spese, nel rispetto di quanto stabilito dall’Avviso;</w:t>
      </w:r>
    </w:p>
    <w:p w14:paraId="00000024" w14:textId="77777777" w:rsidR="00AC01CD" w:rsidRDefault="008C0EB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individuare il soggetto – in possesso dei necessari requisiti di onorabilità ed indipendenza, nonché di professionalità tecnica – cui affidare le attività</w:t>
      </w:r>
      <w:r>
        <w:rPr>
          <w:rFonts w:ascii="Palatino Linotype" w:eastAsia="Palatino Linotype" w:hAnsi="Palatino Linotype" w:cs="Palatino Linotype"/>
          <w:color w:val="000000"/>
        </w:rPr>
        <w:t xml:space="preserve"> di controllo amministrativo e gestionale in relazione alle attività svolte dal partenariato, in conformità a quanto stabilito dall’Avviso;</w:t>
      </w:r>
    </w:p>
    <w:p w14:paraId="00000025" w14:textId="77777777" w:rsidR="00AC01CD" w:rsidRDefault="008C0EB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garantire il rispetto della normativa, statale e regionale, generale e di settore, applicabile alle attività di acco</w:t>
      </w:r>
      <w:r>
        <w:rPr>
          <w:rFonts w:ascii="Palatino Linotype" w:eastAsia="Palatino Linotype" w:hAnsi="Palatino Linotype" w:cs="Palatino Linotype"/>
          <w:color w:val="000000"/>
        </w:rPr>
        <w:t xml:space="preserve">glienza diffusa e di accompagnamento, con particolare riguardo alle misure in materia di responsabilità sociale degli enti, di tutela dei diritti dei lavoratori e della sicurezza sui luoghi di lavoro, sulla tracciabilità dei flussi finanziari e in materia </w:t>
      </w:r>
      <w:r>
        <w:rPr>
          <w:rFonts w:ascii="Palatino Linotype" w:eastAsia="Palatino Linotype" w:hAnsi="Palatino Linotype" w:cs="Palatino Linotype"/>
          <w:color w:val="000000"/>
        </w:rPr>
        <w:t>di trasparenza e di anticorruzione;</w:t>
      </w:r>
    </w:p>
    <w:p w14:paraId="00000026" w14:textId="77777777" w:rsidR="00AC01CD" w:rsidRDefault="00AC01CD">
      <w:pPr>
        <w:rPr>
          <w:rFonts w:ascii="Palatino Linotype" w:eastAsia="Palatino Linotype" w:hAnsi="Palatino Linotype" w:cs="Palatino Linotype"/>
          <w:b/>
          <w:color w:val="000000"/>
        </w:rPr>
      </w:pPr>
    </w:p>
    <w:p w14:paraId="00000027" w14:textId="77777777" w:rsidR="00AC01CD" w:rsidRDefault="008C0EB6">
      <w:pPr>
        <w:jc w:val="center"/>
        <w:rPr>
          <w:rFonts w:ascii="Palatino Linotype" w:eastAsia="Palatino Linotype" w:hAnsi="Palatino Linotype" w:cs="Palatino Linotype"/>
          <w:b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Art. 6 – (Impegni dell’ente locale)</w:t>
      </w:r>
    </w:p>
    <w:p w14:paraId="00000028" w14:textId="77777777" w:rsidR="00AC01CD" w:rsidRDefault="008C0EB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Il Comune con la sottoscrizione del presente accordo assume i seguenti impegni:</w:t>
      </w:r>
    </w:p>
    <w:p w14:paraId="00000029" w14:textId="77777777" w:rsidR="00AC01CD" w:rsidRDefault="00AC01C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Palatino Linotype" w:eastAsia="Palatino Linotype" w:hAnsi="Palatino Linotype" w:cs="Palatino Linotype"/>
          <w:strike/>
          <w:color w:val="000000"/>
        </w:rPr>
      </w:pPr>
    </w:p>
    <w:p w14:paraId="0000002A" w14:textId="77777777" w:rsidR="00AC01CD" w:rsidRDefault="008C0EB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collaborare con i Commissari delegati, di cui all’Ordinanza richiamata in Premessa, anche per il tramite delle sedi di raccordo istituite a livello regionale (</w:t>
      </w:r>
      <w:r>
        <w:rPr>
          <w:rFonts w:ascii="Palatino Linotype" w:eastAsia="Palatino Linotype" w:hAnsi="Palatino Linotype" w:cs="Palatino Linotype"/>
          <w:i/>
          <w:color w:val="000000"/>
        </w:rPr>
        <w:t>Unità di crisi/Cabine di regia regionali</w:t>
      </w:r>
      <w:r>
        <w:rPr>
          <w:rFonts w:ascii="Palatino Linotype" w:eastAsia="Palatino Linotype" w:hAnsi="Palatino Linotype" w:cs="Palatino Linotype"/>
          <w:color w:val="000000"/>
        </w:rPr>
        <w:t>), per il coordinamento delle attività oggetto del presen</w:t>
      </w:r>
      <w:r>
        <w:rPr>
          <w:rFonts w:ascii="Palatino Linotype" w:eastAsia="Palatino Linotype" w:hAnsi="Palatino Linotype" w:cs="Palatino Linotype"/>
          <w:color w:val="000000"/>
        </w:rPr>
        <w:t>te accordo con le altre forme di accoglienza previste dalla vigente disciplina di settore;</w:t>
      </w:r>
    </w:p>
    <w:p w14:paraId="0000002B" w14:textId="77777777" w:rsidR="00AC01CD" w:rsidRDefault="008C0EB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emanare tempestivamente – ricorrendone i presupposti – le autorizzazioni, i provvedimenti e gli atti, variamente denominati, necessari e/o funzionali alle attività o</w:t>
      </w:r>
      <w:r>
        <w:rPr>
          <w:rFonts w:ascii="Palatino Linotype" w:eastAsia="Palatino Linotype" w:hAnsi="Palatino Linotype" w:cs="Palatino Linotype"/>
          <w:color w:val="000000"/>
        </w:rPr>
        <w:t>ggetto del presente accordo;</w:t>
      </w:r>
    </w:p>
    <w:p w14:paraId="0000002C" w14:textId="77777777" w:rsidR="00AC01CD" w:rsidRDefault="00AC01CD">
      <w:pPr>
        <w:jc w:val="center"/>
        <w:rPr>
          <w:rFonts w:ascii="Palatino Linotype" w:eastAsia="Palatino Linotype" w:hAnsi="Palatino Linotype" w:cs="Palatino Linotype"/>
          <w:b/>
          <w:color w:val="000000"/>
        </w:rPr>
      </w:pPr>
    </w:p>
    <w:p w14:paraId="0000002D" w14:textId="77777777" w:rsidR="00AC01CD" w:rsidRDefault="008C0EB6">
      <w:pPr>
        <w:jc w:val="center"/>
        <w:rPr>
          <w:rFonts w:ascii="Palatino Linotype" w:eastAsia="Palatino Linotype" w:hAnsi="Palatino Linotype" w:cs="Palatino Linotype"/>
          <w:b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Art. 7 – (Monitoraggio periodico e rendicontazione)</w:t>
      </w:r>
    </w:p>
    <w:p w14:paraId="0000002E" w14:textId="77777777" w:rsidR="00AC01CD" w:rsidRDefault="008C0EB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I soggetti partner del privato sociale svolgono l’attività di monitoraggio periodico delle attività svolte e, sulla base delle attività di controllo, indicate al precedente a</w:t>
      </w:r>
      <w:r>
        <w:rPr>
          <w:rFonts w:ascii="Palatino Linotype" w:eastAsia="Palatino Linotype" w:hAnsi="Palatino Linotype" w:cs="Palatino Linotype"/>
          <w:color w:val="000000"/>
        </w:rPr>
        <w:t xml:space="preserve">rticolo 5, svolte dal soggetto incaricato, emettono i documenti contabili per la richiesta dei contributi loro spettanti, in applicazione dell’Ordinanza più volte richiamata in Premessa. </w:t>
      </w:r>
    </w:p>
    <w:p w14:paraId="0000002F" w14:textId="77777777" w:rsidR="00AC01CD" w:rsidRDefault="00AC01CD">
      <w:pPr>
        <w:jc w:val="center"/>
        <w:rPr>
          <w:rFonts w:ascii="Palatino Linotype" w:eastAsia="Palatino Linotype" w:hAnsi="Palatino Linotype" w:cs="Palatino Linotype"/>
          <w:b/>
          <w:color w:val="000000"/>
        </w:rPr>
      </w:pPr>
    </w:p>
    <w:p w14:paraId="00000030" w14:textId="77777777" w:rsidR="00AC01CD" w:rsidRDefault="008C0EB6">
      <w:pPr>
        <w:jc w:val="center"/>
        <w:rPr>
          <w:rFonts w:ascii="Palatino Linotype" w:eastAsia="Palatino Linotype" w:hAnsi="Palatino Linotype" w:cs="Palatino Linotype"/>
          <w:b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Art. 8 – (Revoca del contributo e risoluzione dell’accordo)</w:t>
      </w:r>
    </w:p>
    <w:p w14:paraId="00000031" w14:textId="77777777" w:rsidR="00AC01CD" w:rsidRDefault="008C0EB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Nelle ipotesi di revoca del contributo, stabilite dall’Avviso, più volte richiamato in Premessa, il presente accordo è da intendersi automaticamente risolto, senza che l’ente locale contesti formalmente agli enti partner del privato sociale l’inadempimento</w:t>
      </w:r>
      <w:r>
        <w:rPr>
          <w:rFonts w:ascii="Palatino Linotype" w:eastAsia="Palatino Linotype" w:hAnsi="Palatino Linotype" w:cs="Palatino Linotype"/>
          <w:color w:val="000000"/>
        </w:rPr>
        <w:t xml:space="preserve"> al presente accordo.</w:t>
      </w:r>
    </w:p>
    <w:p w14:paraId="00000032" w14:textId="77777777" w:rsidR="00AC01CD" w:rsidRDefault="00AC01CD">
      <w:pPr>
        <w:jc w:val="center"/>
        <w:rPr>
          <w:rFonts w:ascii="Palatino Linotype" w:eastAsia="Palatino Linotype" w:hAnsi="Palatino Linotype" w:cs="Palatino Linotype"/>
          <w:b/>
          <w:color w:val="000000"/>
        </w:rPr>
      </w:pPr>
    </w:p>
    <w:p w14:paraId="00000033" w14:textId="77777777" w:rsidR="00AC01CD" w:rsidRDefault="008C0EB6">
      <w:pPr>
        <w:jc w:val="center"/>
        <w:rPr>
          <w:rFonts w:ascii="Palatino Linotype" w:eastAsia="Palatino Linotype" w:hAnsi="Palatino Linotype" w:cs="Palatino Linotype"/>
          <w:b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Art. 9 (Protezione dei dati)</w:t>
      </w:r>
    </w:p>
    <w:p w14:paraId="00000034" w14:textId="77777777" w:rsidR="00AC01CD" w:rsidRDefault="008C0EB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(</w:t>
      </w:r>
      <w:r>
        <w:rPr>
          <w:rFonts w:ascii="Palatino Linotype" w:eastAsia="Palatino Linotype" w:hAnsi="Palatino Linotype" w:cs="Palatino Linotype"/>
          <w:i/>
          <w:color w:val="000000"/>
        </w:rPr>
        <w:t>clausola standard</w:t>
      </w:r>
      <w:r>
        <w:rPr>
          <w:rFonts w:ascii="Palatino Linotype" w:eastAsia="Palatino Linotype" w:hAnsi="Palatino Linotype" w:cs="Palatino Linotype"/>
          <w:color w:val="000000"/>
        </w:rPr>
        <w:t>)</w:t>
      </w:r>
    </w:p>
    <w:p w14:paraId="00000035" w14:textId="77777777" w:rsidR="00AC01CD" w:rsidRDefault="00AC01CD">
      <w:pPr>
        <w:rPr>
          <w:rFonts w:ascii="Palatino Linotype" w:eastAsia="Palatino Linotype" w:hAnsi="Palatino Linotype" w:cs="Palatino Linotype"/>
          <w:b/>
          <w:color w:val="000000"/>
        </w:rPr>
      </w:pPr>
    </w:p>
    <w:p w14:paraId="00000036" w14:textId="77777777" w:rsidR="00AC01CD" w:rsidRDefault="008C0EB6">
      <w:pPr>
        <w:jc w:val="center"/>
        <w:rPr>
          <w:rFonts w:ascii="Palatino Linotype" w:eastAsia="Palatino Linotype" w:hAnsi="Palatino Linotype" w:cs="Palatino Linotype"/>
          <w:b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Art. 10 (Foro competente)</w:t>
      </w:r>
    </w:p>
    <w:p w14:paraId="00000037" w14:textId="77777777" w:rsidR="00AC01CD" w:rsidRDefault="008C0EB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(</w:t>
      </w:r>
      <w:r>
        <w:rPr>
          <w:rFonts w:ascii="Palatino Linotype" w:eastAsia="Palatino Linotype" w:hAnsi="Palatino Linotype" w:cs="Palatino Linotype"/>
          <w:i/>
          <w:color w:val="000000"/>
        </w:rPr>
        <w:t>clausola standard</w:t>
      </w:r>
      <w:r>
        <w:rPr>
          <w:rFonts w:ascii="Palatino Linotype" w:eastAsia="Palatino Linotype" w:hAnsi="Palatino Linotype" w:cs="Palatino Linotype"/>
          <w:color w:val="000000"/>
        </w:rPr>
        <w:t>)</w:t>
      </w:r>
    </w:p>
    <w:p w14:paraId="00000038" w14:textId="77777777" w:rsidR="00AC01CD" w:rsidRDefault="00AC01CD">
      <w:pPr>
        <w:jc w:val="center"/>
        <w:rPr>
          <w:rFonts w:ascii="Palatino Linotype" w:eastAsia="Palatino Linotype" w:hAnsi="Palatino Linotype" w:cs="Palatino Linotype"/>
          <w:b/>
          <w:color w:val="000000"/>
        </w:rPr>
      </w:pPr>
    </w:p>
    <w:p w14:paraId="00000039" w14:textId="77777777" w:rsidR="00AC01CD" w:rsidRDefault="008C0EB6">
      <w:pPr>
        <w:jc w:val="center"/>
        <w:rPr>
          <w:rFonts w:ascii="Palatino Linotype" w:eastAsia="Palatino Linotype" w:hAnsi="Palatino Linotype" w:cs="Palatino Linotype"/>
          <w:b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Art. 11 (Modifiche ed integrazione dell’accordo e norme di rinvio)</w:t>
      </w:r>
    </w:p>
    <w:p w14:paraId="0000003A" w14:textId="77777777" w:rsidR="00AC01CD" w:rsidRDefault="008C0E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Il presente accordo potrà essere modificato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ed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integrato sulla base di espressa e concorde volontà delle Parti, fatte salve modifiche automatiche dello stesso, in forza di provvedimenti legislativi e amministrativi sopravvenuti, ai sensi dell’art. 1339 </w:t>
      </w:r>
      <w:proofErr w:type="gramStart"/>
      <w:r>
        <w:rPr>
          <w:rFonts w:ascii="Palatino Linotype" w:eastAsia="Palatino Linotype" w:hAnsi="Palatino Linotype" w:cs="Palatino Linotype"/>
          <w:color w:val="000000"/>
        </w:rPr>
        <w:t>cod</w:t>
      </w:r>
      <w:r>
        <w:rPr>
          <w:rFonts w:ascii="Palatino Linotype" w:eastAsia="Palatino Linotype" w:hAnsi="Palatino Linotype" w:cs="Palatino Linotype"/>
          <w:color w:val="000000"/>
        </w:rPr>
        <w:t>ice civile</w:t>
      </w:r>
      <w:proofErr w:type="gramEnd"/>
      <w:r>
        <w:rPr>
          <w:rFonts w:ascii="Palatino Linotype" w:eastAsia="Palatino Linotype" w:hAnsi="Palatino Linotype" w:cs="Palatino Linotype"/>
          <w:color w:val="000000"/>
        </w:rPr>
        <w:t>.</w:t>
      </w:r>
    </w:p>
    <w:p w14:paraId="0000003B" w14:textId="77777777" w:rsidR="00AC01CD" w:rsidRDefault="008C0E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Per quanto non espressamente previsto nel presente accordo, si applicano le disposizioni previste dalla vigente disciplina, statale e regionale, nonché le disposizioni del </w:t>
      </w:r>
      <w:proofErr w:type="gramStart"/>
      <w:r>
        <w:rPr>
          <w:rFonts w:ascii="Palatino Linotype" w:eastAsia="Palatino Linotype" w:hAnsi="Palatino Linotype" w:cs="Palatino Linotype"/>
          <w:color w:val="000000"/>
        </w:rPr>
        <w:t>codice civile</w:t>
      </w:r>
      <w:proofErr w:type="gramEnd"/>
      <w:r>
        <w:rPr>
          <w:rFonts w:ascii="Palatino Linotype" w:eastAsia="Palatino Linotype" w:hAnsi="Palatino Linotype" w:cs="Palatino Linotype"/>
          <w:color w:val="000000"/>
        </w:rPr>
        <w:t xml:space="preserve"> in quanto compatibili.</w:t>
      </w:r>
    </w:p>
    <w:p w14:paraId="0000003C" w14:textId="77777777" w:rsidR="00AC01CD" w:rsidRDefault="00AC01CD">
      <w:pPr>
        <w:jc w:val="center"/>
        <w:rPr>
          <w:rFonts w:ascii="Palatino Linotype" w:eastAsia="Palatino Linotype" w:hAnsi="Palatino Linotype" w:cs="Palatino Linotype"/>
          <w:color w:val="000000"/>
        </w:rPr>
      </w:pPr>
    </w:p>
    <w:p w14:paraId="0000003D" w14:textId="77777777" w:rsidR="00AC01CD" w:rsidRDefault="00AC01CD">
      <w:pPr>
        <w:jc w:val="center"/>
        <w:rPr>
          <w:rFonts w:ascii="Palatino Linotype" w:eastAsia="Palatino Linotype" w:hAnsi="Palatino Linotype" w:cs="Palatino Linotype"/>
          <w:b/>
          <w:color w:val="0070C0"/>
        </w:rPr>
      </w:pPr>
    </w:p>
    <w:p w14:paraId="0000003E" w14:textId="77777777" w:rsidR="00AC01CD" w:rsidRDefault="00AC01CD">
      <w:pPr>
        <w:jc w:val="center"/>
        <w:rPr>
          <w:rFonts w:ascii="Palatino Linotype" w:eastAsia="Palatino Linotype" w:hAnsi="Palatino Linotype" w:cs="Palatino Linotype"/>
          <w:b/>
          <w:color w:val="0070C0"/>
        </w:rPr>
      </w:pPr>
    </w:p>
    <w:p w14:paraId="0000003F" w14:textId="77777777" w:rsidR="00AC01CD" w:rsidRDefault="00AC01CD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Palatino Linotype" w:eastAsia="Palatino Linotype" w:hAnsi="Palatino Linotype" w:cs="Palatino Linotype"/>
          <w:color w:val="000000"/>
        </w:rPr>
      </w:pPr>
    </w:p>
    <w:sectPr w:rsidR="00AC01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E88CC" w14:textId="77777777" w:rsidR="008C0EB6" w:rsidRDefault="008C0EB6" w:rsidP="00FE6738">
      <w:r>
        <w:separator/>
      </w:r>
    </w:p>
  </w:endnote>
  <w:endnote w:type="continuationSeparator" w:id="0">
    <w:p w14:paraId="3C979003" w14:textId="77777777" w:rsidR="008C0EB6" w:rsidRDefault="008C0EB6" w:rsidP="00FE6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140CF" w14:textId="77777777" w:rsidR="00FE6738" w:rsidRDefault="00FE673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4D9AF" w14:textId="77777777" w:rsidR="00FE6738" w:rsidRDefault="00FE673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E814D" w14:textId="77777777" w:rsidR="00FE6738" w:rsidRDefault="00FE67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C931C" w14:textId="77777777" w:rsidR="008C0EB6" w:rsidRDefault="008C0EB6" w:rsidP="00FE6738">
      <w:r>
        <w:separator/>
      </w:r>
    </w:p>
  </w:footnote>
  <w:footnote w:type="continuationSeparator" w:id="0">
    <w:p w14:paraId="7FAD797C" w14:textId="77777777" w:rsidR="008C0EB6" w:rsidRDefault="008C0EB6" w:rsidP="00FE6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486DF" w14:textId="77777777" w:rsidR="00FE6738" w:rsidRDefault="00FE673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7128078"/>
      <w:docPartObj>
        <w:docPartGallery w:val="Watermarks"/>
        <w:docPartUnique/>
      </w:docPartObj>
    </w:sdtPr>
    <w:sdtContent>
      <w:p w14:paraId="420B5413" w14:textId="2EE7972B" w:rsidR="00FE6738" w:rsidRDefault="00FE6738">
        <w:pPr>
          <w:pStyle w:val="Intestazione"/>
        </w:pPr>
        <w:r>
          <w:pict w14:anchorId="3B53439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51C32" w14:textId="77777777" w:rsidR="00FE6738" w:rsidRDefault="00FE673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B28A8"/>
    <w:multiLevelType w:val="multilevel"/>
    <w:tmpl w:val="FADA2C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D012A0"/>
    <w:multiLevelType w:val="multilevel"/>
    <w:tmpl w:val="8D9E81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706E91"/>
    <w:multiLevelType w:val="multilevel"/>
    <w:tmpl w:val="04CE9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E90A0B"/>
    <w:multiLevelType w:val="multilevel"/>
    <w:tmpl w:val="0CD830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B162B1"/>
    <w:multiLevelType w:val="multilevel"/>
    <w:tmpl w:val="C4BAC1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A609CA"/>
    <w:multiLevelType w:val="multilevel"/>
    <w:tmpl w:val="7430E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B0554D"/>
    <w:multiLevelType w:val="multilevel"/>
    <w:tmpl w:val="80CED2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A76E04"/>
    <w:multiLevelType w:val="multilevel"/>
    <w:tmpl w:val="AE466A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C47B7E"/>
    <w:multiLevelType w:val="multilevel"/>
    <w:tmpl w:val="B6CC3A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744F9"/>
    <w:multiLevelType w:val="multilevel"/>
    <w:tmpl w:val="A4AE18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07797F"/>
    <w:multiLevelType w:val="multilevel"/>
    <w:tmpl w:val="B3AEC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11000B"/>
    <w:multiLevelType w:val="multilevel"/>
    <w:tmpl w:val="C3843C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9"/>
  </w:num>
  <w:num w:numId="5">
    <w:abstractNumId w:val="0"/>
  </w:num>
  <w:num w:numId="6">
    <w:abstractNumId w:val="8"/>
  </w:num>
  <w:num w:numId="7">
    <w:abstractNumId w:val="10"/>
  </w:num>
  <w:num w:numId="8">
    <w:abstractNumId w:val="11"/>
  </w:num>
  <w:num w:numId="9">
    <w:abstractNumId w:val="6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1CD"/>
    <w:rsid w:val="008C0EB6"/>
    <w:rsid w:val="00AC01CD"/>
    <w:rsid w:val="00FE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507A70E"/>
  <w15:docId w15:val="{EC38FFD4-1196-4FD3-9A3C-0C417E39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FE67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6738"/>
  </w:style>
  <w:style w:type="paragraph" w:styleId="Pidipagina">
    <w:name w:val="footer"/>
    <w:basedOn w:val="Normale"/>
    <w:link w:val="PidipaginaCarattere"/>
    <w:uiPriority w:val="99"/>
    <w:unhideWhenUsed/>
    <w:rsid w:val="00FE67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6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BA91E-9BF7-439A-B194-E8688F5C5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854</Words>
  <Characters>4871</Characters>
  <Application>Microsoft Office Word</Application>
  <DocSecurity>0</DocSecurity>
  <Lines>40</Lines>
  <Paragraphs>11</Paragraphs>
  <ScaleCrop>false</ScaleCrop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c.orlandi</dc:creator>
  <cp:lastModifiedBy>Camilla Orlandi</cp:lastModifiedBy>
  <cp:revision>2</cp:revision>
  <dcterms:created xsi:type="dcterms:W3CDTF">2022-04-06T16:15:00Z</dcterms:created>
  <dcterms:modified xsi:type="dcterms:W3CDTF">2022-04-06T16:15:00Z</dcterms:modified>
</cp:coreProperties>
</file>